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034D7" w14:textId="77777777" w:rsidR="00011CD9" w:rsidRPr="00D74E45" w:rsidRDefault="00011CD9" w:rsidP="00011CD9">
      <w:pPr>
        <w:rPr>
          <w:b/>
          <w:bCs/>
        </w:rPr>
      </w:pPr>
      <w:r w:rsidRPr="00D74E45">
        <w:rPr>
          <w:b/>
          <w:bCs/>
        </w:rPr>
        <w:t>Earth and Planetary Sciences Graduate Program</w:t>
      </w:r>
    </w:p>
    <w:p w14:paraId="4397FD96" w14:textId="42690635" w:rsidR="00011CD9" w:rsidRPr="00D74E45" w:rsidRDefault="00312BF5" w:rsidP="00011CD9">
      <w:pPr>
        <w:rPr>
          <w:b/>
          <w:bCs/>
        </w:rPr>
      </w:pPr>
      <w:r>
        <w:rPr>
          <w:b/>
          <w:bCs/>
        </w:rPr>
        <w:t>GEL 299</w:t>
      </w:r>
      <w:r w:rsidR="00011CD9" w:rsidRPr="00D74E45">
        <w:rPr>
          <w:b/>
          <w:bCs/>
        </w:rPr>
        <w:t xml:space="preserve"> Syllabus</w:t>
      </w:r>
    </w:p>
    <w:p w14:paraId="38E84965" w14:textId="77777777" w:rsidR="00011CD9" w:rsidRDefault="00011CD9"/>
    <w:p w14:paraId="60FEE551" w14:textId="3FD70E09" w:rsidR="00EF2D0E" w:rsidRDefault="00EF2D0E">
      <w:pPr>
        <w:rPr>
          <w:u w:val="single"/>
        </w:rPr>
      </w:pPr>
      <w:r>
        <w:rPr>
          <w:u w:val="single"/>
        </w:rPr>
        <w:t xml:space="preserve">Quarterly </w:t>
      </w:r>
      <w:r w:rsidRPr="00C11089">
        <w:rPr>
          <w:u w:val="single"/>
        </w:rPr>
        <w:t xml:space="preserve">Research Related Tasks </w:t>
      </w:r>
    </w:p>
    <w:p w14:paraId="370788C1" w14:textId="51AE5484" w:rsidR="00EF2D0E" w:rsidRDefault="00EF2D0E">
      <w:pPr>
        <w:rPr>
          <w:u w:val="single"/>
        </w:rPr>
      </w:pPr>
    </w:p>
    <w:tbl>
      <w:tblPr>
        <w:tblStyle w:val="TableGrid"/>
        <w:tblW w:w="0" w:type="auto"/>
        <w:tblLook w:val="04A0" w:firstRow="1" w:lastRow="0" w:firstColumn="1" w:lastColumn="0" w:noHBand="0" w:noVBand="1"/>
      </w:tblPr>
      <w:tblGrid>
        <w:gridCol w:w="2335"/>
        <w:gridCol w:w="4920"/>
        <w:gridCol w:w="1185"/>
        <w:gridCol w:w="910"/>
      </w:tblGrid>
      <w:tr w:rsidR="00790378" w:rsidRPr="00F863CB" w14:paraId="3151B331" w14:textId="77777777" w:rsidTr="00D22E6D">
        <w:tc>
          <w:tcPr>
            <w:tcW w:w="2335" w:type="dxa"/>
            <w:tcBorders>
              <w:top w:val="single" w:sz="4" w:space="0" w:color="auto"/>
              <w:left w:val="single" w:sz="4" w:space="0" w:color="auto"/>
              <w:bottom w:val="nil"/>
              <w:right w:val="nil"/>
            </w:tcBorders>
          </w:tcPr>
          <w:p w14:paraId="5D5EEB63" w14:textId="4C4BC617" w:rsidR="00F863CB" w:rsidRPr="00F863CB" w:rsidRDefault="00F863CB" w:rsidP="00F863CB">
            <w:pPr>
              <w:jc w:val="right"/>
              <w:rPr>
                <w:b/>
                <w:bCs/>
              </w:rPr>
            </w:pPr>
            <w:r w:rsidRPr="00F863CB">
              <w:rPr>
                <w:b/>
                <w:bCs/>
              </w:rPr>
              <w:t>Student Name</w:t>
            </w:r>
            <w:r>
              <w:rPr>
                <w:b/>
                <w:bCs/>
              </w:rPr>
              <w:t>:</w:t>
            </w:r>
          </w:p>
        </w:tc>
        <w:tc>
          <w:tcPr>
            <w:tcW w:w="4920" w:type="dxa"/>
            <w:tcBorders>
              <w:top w:val="single" w:sz="4" w:space="0" w:color="auto"/>
              <w:left w:val="nil"/>
              <w:bottom w:val="nil"/>
              <w:right w:val="nil"/>
            </w:tcBorders>
          </w:tcPr>
          <w:p w14:paraId="1D790DE8" w14:textId="77777777" w:rsidR="00F863CB" w:rsidRPr="00F863CB" w:rsidRDefault="00F863CB"/>
        </w:tc>
        <w:tc>
          <w:tcPr>
            <w:tcW w:w="1185" w:type="dxa"/>
            <w:tcBorders>
              <w:top w:val="single" w:sz="4" w:space="0" w:color="auto"/>
              <w:left w:val="nil"/>
              <w:bottom w:val="nil"/>
              <w:right w:val="nil"/>
            </w:tcBorders>
          </w:tcPr>
          <w:p w14:paraId="4817480F" w14:textId="18C41560" w:rsidR="00F863CB" w:rsidRPr="00F863CB" w:rsidRDefault="00F863CB" w:rsidP="00F863CB">
            <w:pPr>
              <w:jc w:val="right"/>
            </w:pPr>
            <w:r w:rsidRPr="00134E7E">
              <w:rPr>
                <w:b/>
                <w:bCs/>
              </w:rPr>
              <w:t>Quarter</w:t>
            </w:r>
            <w:r w:rsidR="00134E7E">
              <w:rPr>
                <w:b/>
                <w:bCs/>
              </w:rPr>
              <w:t>:</w:t>
            </w:r>
            <w:r>
              <w:t xml:space="preserve"> (F/W/S)</w:t>
            </w:r>
          </w:p>
        </w:tc>
        <w:tc>
          <w:tcPr>
            <w:tcW w:w="910" w:type="dxa"/>
            <w:tcBorders>
              <w:top w:val="single" w:sz="4" w:space="0" w:color="auto"/>
              <w:left w:val="nil"/>
              <w:bottom w:val="nil"/>
              <w:right w:val="single" w:sz="4" w:space="0" w:color="auto"/>
            </w:tcBorders>
          </w:tcPr>
          <w:p w14:paraId="40344BEE" w14:textId="77777777" w:rsidR="00F863CB" w:rsidRPr="00F863CB" w:rsidRDefault="00F863CB"/>
        </w:tc>
      </w:tr>
      <w:tr w:rsidR="00790378" w:rsidRPr="00F863CB" w14:paraId="0EEE1E69" w14:textId="77777777" w:rsidTr="00D22E6D">
        <w:tc>
          <w:tcPr>
            <w:tcW w:w="2335" w:type="dxa"/>
            <w:tcBorders>
              <w:top w:val="nil"/>
              <w:left w:val="single" w:sz="4" w:space="0" w:color="auto"/>
              <w:bottom w:val="single" w:sz="4" w:space="0" w:color="auto"/>
              <w:right w:val="nil"/>
            </w:tcBorders>
          </w:tcPr>
          <w:p w14:paraId="26542E74" w14:textId="06F86E28" w:rsidR="00134E7E" w:rsidRPr="00134E7E" w:rsidRDefault="00F863CB" w:rsidP="00134E7E">
            <w:pPr>
              <w:jc w:val="right"/>
              <w:rPr>
                <w:b/>
                <w:bCs/>
              </w:rPr>
            </w:pPr>
            <w:r w:rsidRPr="00134E7E">
              <w:rPr>
                <w:b/>
                <w:bCs/>
              </w:rPr>
              <w:t>299 Units (1-12):</w:t>
            </w:r>
          </w:p>
        </w:tc>
        <w:tc>
          <w:tcPr>
            <w:tcW w:w="4920" w:type="dxa"/>
            <w:tcBorders>
              <w:top w:val="nil"/>
              <w:left w:val="nil"/>
              <w:bottom w:val="single" w:sz="4" w:space="0" w:color="auto"/>
              <w:right w:val="nil"/>
            </w:tcBorders>
          </w:tcPr>
          <w:p w14:paraId="0686CED8" w14:textId="77777777" w:rsidR="00F863CB" w:rsidRPr="00134E7E" w:rsidRDefault="00F863CB">
            <w:pPr>
              <w:rPr>
                <w:b/>
                <w:bCs/>
              </w:rPr>
            </w:pPr>
          </w:p>
        </w:tc>
        <w:tc>
          <w:tcPr>
            <w:tcW w:w="1185" w:type="dxa"/>
            <w:tcBorders>
              <w:top w:val="nil"/>
              <w:left w:val="nil"/>
              <w:bottom w:val="single" w:sz="4" w:space="0" w:color="auto"/>
              <w:right w:val="nil"/>
            </w:tcBorders>
          </w:tcPr>
          <w:p w14:paraId="7CB9D882" w14:textId="28E4FFA0" w:rsidR="00F863CB" w:rsidRPr="00134E7E" w:rsidRDefault="00F863CB" w:rsidP="00F863CB">
            <w:pPr>
              <w:jc w:val="right"/>
              <w:rPr>
                <w:b/>
                <w:bCs/>
              </w:rPr>
            </w:pPr>
            <w:r w:rsidRPr="00134E7E">
              <w:rPr>
                <w:b/>
                <w:bCs/>
              </w:rPr>
              <w:t>Year:</w:t>
            </w:r>
          </w:p>
        </w:tc>
        <w:tc>
          <w:tcPr>
            <w:tcW w:w="910" w:type="dxa"/>
            <w:tcBorders>
              <w:top w:val="nil"/>
              <w:left w:val="nil"/>
              <w:bottom w:val="single" w:sz="4" w:space="0" w:color="auto"/>
              <w:right w:val="single" w:sz="4" w:space="0" w:color="auto"/>
            </w:tcBorders>
          </w:tcPr>
          <w:p w14:paraId="00B3DB3B" w14:textId="77777777" w:rsidR="00F863CB" w:rsidRPr="00134E7E" w:rsidRDefault="00F863CB">
            <w:pPr>
              <w:rPr>
                <w:b/>
                <w:bCs/>
              </w:rPr>
            </w:pPr>
          </w:p>
        </w:tc>
      </w:tr>
      <w:tr w:rsidR="00134E7E" w:rsidRPr="00F863CB" w14:paraId="509D8752" w14:textId="77777777" w:rsidTr="00D22E6D">
        <w:tc>
          <w:tcPr>
            <w:tcW w:w="2335" w:type="dxa"/>
            <w:tcBorders>
              <w:top w:val="single" w:sz="4" w:space="0" w:color="auto"/>
              <w:left w:val="single" w:sz="4" w:space="0" w:color="auto"/>
              <w:bottom w:val="single" w:sz="4" w:space="0" w:color="auto"/>
              <w:right w:val="nil"/>
            </w:tcBorders>
          </w:tcPr>
          <w:p w14:paraId="31F2DC2E" w14:textId="77777777" w:rsidR="00134E7E" w:rsidRDefault="00134E7E" w:rsidP="00790378">
            <w:pPr>
              <w:rPr>
                <w:b/>
                <w:bCs/>
              </w:rPr>
            </w:pPr>
          </w:p>
          <w:p w14:paraId="283277C9" w14:textId="73377791" w:rsidR="00134E7E" w:rsidRPr="00134E7E" w:rsidRDefault="00134E7E" w:rsidP="00790378">
            <w:pPr>
              <w:rPr>
                <w:b/>
                <w:bCs/>
              </w:rPr>
            </w:pPr>
            <w:r>
              <w:rPr>
                <w:b/>
                <w:bCs/>
              </w:rPr>
              <w:t>Research Task</w:t>
            </w:r>
          </w:p>
        </w:tc>
        <w:tc>
          <w:tcPr>
            <w:tcW w:w="6105" w:type="dxa"/>
            <w:gridSpan w:val="2"/>
            <w:tcBorders>
              <w:top w:val="single" w:sz="4" w:space="0" w:color="auto"/>
              <w:left w:val="nil"/>
              <w:bottom w:val="single" w:sz="4" w:space="0" w:color="auto"/>
              <w:right w:val="nil"/>
            </w:tcBorders>
          </w:tcPr>
          <w:p w14:paraId="477A5578" w14:textId="77777777" w:rsidR="00134E7E" w:rsidRDefault="00134E7E" w:rsidP="00790378">
            <w:pPr>
              <w:rPr>
                <w:b/>
                <w:bCs/>
              </w:rPr>
            </w:pPr>
          </w:p>
          <w:p w14:paraId="711D9E3E" w14:textId="7C228902" w:rsidR="00134E7E" w:rsidRPr="00134E7E" w:rsidRDefault="00134E7E" w:rsidP="00790378">
            <w:pPr>
              <w:rPr>
                <w:b/>
                <w:bCs/>
              </w:rPr>
            </w:pPr>
            <w:r>
              <w:rPr>
                <w:b/>
                <w:bCs/>
              </w:rPr>
              <w:t>Expectations &amp; Deadlines</w:t>
            </w:r>
            <w:r w:rsidR="00790378" w:rsidRPr="00790378">
              <w:rPr>
                <w:b/>
                <w:bCs/>
                <w:vertAlign w:val="superscript"/>
              </w:rPr>
              <w:t>1</w:t>
            </w:r>
          </w:p>
        </w:tc>
        <w:tc>
          <w:tcPr>
            <w:tcW w:w="910" w:type="dxa"/>
            <w:tcBorders>
              <w:top w:val="single" w:sz="4" w:space="0" w:color="auto"/>
              <w:left w:val="nil"/>
              <w:bottom w:val="single" w:sz="4" w:space="0" w:color="auto"/>
              <w:right w:val="single" w:sz="4" w:space="0" w:color="auto"/>
            </w:tcBorders>
          </w:tcPr>
          <w:p w14:paraId="184CAD35" w14:textId="57380F50" w:rsidR="00134E7E" w:rsidRPr="00134E7E" w:rsidRDefault="00134E7E">
            <w:pPr>
              <w:rPr>
                <w:b/>
                <w:bCs/>
              </w:rPr>
            </w:pPr>
            <w:r>
              <w:rPr>
                <w:b/>
                <w:bCs/>
              </w:rPr>
              <w:t>Hours/ Week</w:t>
            </w:r>
            <w:r w:rsidR="00790378" w:rsidRPr="00790378">
              <w:rPr>
                <w:b/>
                <w:bCs/>
                <w:vertAlign w:val="superscript"/>
              </w:rPr>
              <w:t>2</w:t>
            </w:r>
          </w:p>
        </w:tc>
      </w:tr>
      <w:tr w:rsidR="00134E7E" w:rsidRPr="00F863CB" w14:paraId="398C082B" w14:textId="77777777" w:rsidTr="00D22E6D">
        <w:tc>
          <w:tcPr>
            <w:tcW w:w="2335" w:type="dxa"/>
            <w:tcBorders>
              <w:top w:val="single" w:sz="4" w:space="0" w:color="auto"/>
            </w:tcBorders>
          </w:tcPr>
          <w:p w14:paraId="6011498E" w14:textId="6E086D2B" w:rsidR="00134E7E" w:rsidRPr="00F863CB" w:rsidRDefault="00134E7E">
            <w:r>
              <w:t>Meetings w/Advisor &amp; Research Group</w:t>
            </w:r>
          </w:p>
        </w:tc>
        <w:tc>
          <w:tcPr>
            <w:tcW w:w="6105" w:type="dxa"/>
            <w:gridSpan w:val="2"/>
            <w:tcBorders>
              <w:top w:val="single" w:sz="4" w:space="0" w:color="auto"/>
            </w:tcBorders>
          </w:tcPr>
          <w:p w14:paraId="33B8CD81" w14:textId="4E0EB76C" w:rsidR="00134E7E" w:rsidRPr="00F863CB" w:rsidRDefault="00134E7E" w:rsidP="00134E7E"/>
        </w:tc>
        <w:tc>
          <w:tcPr>
            <w:tcW w:w="910" w:type="dxa"/>
            <w:tcBorders>
              <w:top w:val="single" w:sz="4" w:space="0" w:color="auto"/>
            </w:tcBorders>
          </w:tcPr>
          <w:p w14:paraId="0B17AD1F" w14:textId="77777777" w:rsidR="00134E7E" w:rsidRDefault="00134E7E"/>
          <w:p w14:paraId="457D00DA" w14:textId="77777777" w:rsidR="00134E7E" w:rsidRDefault="00134E7E"/>
          <w:p w14:paraId="53B09D36" w14:textId="77777777" w:rsidR="00134E7E" w:rsidRPr="00F863CB" w:rsidRDefault="00134E7E"/>
        </w:tc>
      </w:tr>
      <w:tr w:rsidR="00134E7E" w:rsidRPr="00F863CB" w14:paraId="0D6A4047" w14:textId="77777777" w:rsidTr="00D22E6D">
        <w:tc>
          <w:tcPr>
            <w:tcW w:w="2335" w:type="dxa"/>
          </w:tcPr>
          <w:p w14:paraId="1AF08424" w14:textId="458F3C3B" w:rsidR="00134E7E" w:rsidRDefault="00134E7E">
            <w:r>
              <w:t>Project Management</w:t>
            </w:r>
          </w:p>
        </w:tc>
        <w:tc>
          <w:tcPr>
            <w:tcW w:w="6105" w:type="dxa"/>
            <w:gridSpan w:val="2"/>
          </w:tcPr>
          <w:p w14:paraId="55C6E74A" w14:textId="5D314340" w:rsidR="00134E7E" w:rsidRDefault="00134E7E" w:rsidP="00134E7E"/>
        </w:tc>
        <w:tc>
          <w:tcPr>
            <w:tcW w:w="910" w:type="dxa"/>
          </w:tcPr>
          <w:p w14:paraId="11CBD330" w14:textId="77777777" w:rsidR="00134E7E" w:rsidRDefault="00134E7E"/>
          <w:p w14:paraId="485EA72B" w14:textId="77777777" w:rsidR="00134E7E" w:rsidRDefault="00134E7E"/>
          <w:p w14:paraId="4AA3EA8F" w14:textId="77777777" w:rsidR="00134E7E" w:rsidRPr="00F863CB" w:rsidRDefault="00134E7E"/>
        </w:tc>
      </w:tr>
      <w:tr w:rsidR="00134E7E" w:rsidRPr="00F863CB" w14:paraId="21809334" w14:textId="77777777" w:rsidTr="00D22E6D">
        <w:tc>
          <w:tcPr>
            <w:tcW w:w="2335" w:type="dxa"/>
          </w:tcPr>
          <w:p w14:paraId="4C223482" w14:textId="177EE016" w:rsidR="00134E7E" w:rsidRPr="00F863CB" w:rsidRDefault="00134E7E">
            <w:r>
              <w:t>Lab</w:t>
            </w:r>
            <w:r w:rsidR="00D22E6D">
              <w:t xml:space="preserve">oratory Analysis </w:t>
            </w:r>
          </w:p>
        </w:tc>
        <w:tc>
          <w:tcPr>
            <w:tcW w:w="6105" w:type="dxa"/>
            <w:gridSpan w:val="2"/>
          </w:tcPr>
          <w:p w14:paraId="1790DCFF" w14:textId="7ED0548C" w:rsidR="00134E7E" w:rsidRPr="00F863CB" w:rsidRDefault="00134E7E" w:rsidP="00134E7E"/>
        </w:tc>
        <w:tc>
          <w:tcPr>
            <w:tcW w:w="910" w:type="dxa"/>
          </w:tcPr>
          <w:p w14:paraId="1AAE00BD" w14:textId="77777777" w:rsidR="00134E7E" w:rsidRDefault="00134E7E"/>
          <w:p w14:paraId="7D2CC853" w14:textId="77777777" w:rsidR="00134E7E" w:rsidRDefault="00134E7E"/>
          <w:p w14:paraId="2B7ACFBF" w14:textId="77777777" w:rsidR="00134E7E" w:rsidRPr="00F863CB" w:rsidRDefault="00134E7E"/>
        </w:tc>
      </w:tr>
      <w:tr w:rsidR="00134E7E" w:rsidRPr="00F863CB" w14:paraId="33F6B3F3" w14:textId="77777777" w:rsidTr="00D22E6D">
        <w:tc>
          <w:tcPr>
            <w:tcW w:w="2335" w:type="dxa"/>
          </w:tcPr>
          <w:p w14:paraId="5C9BE9F0" w14:textId="010B85B2" w:rsidR="00134E7E" w:rsidRPr="00F863CB" w:rsidRDefault="00D22E6D">
            <w:r>
              <w:t>Data Analysis</w:t>
            </w:r>
          </w:p>
        </w:tc>
        <w:tc>
          <w:tcPr>
            <w:tcW w:w="6105" w:type="dxa"/>
            <w:gridSpan w:val="2"/>
          </w:tcPr>
          <w:p w14:paraId="627B4502" w14:textId="4AFACCD0" w:rsidR="00134E7E" w:rsidRPr="00F863CB" w:rsidRDefault="00134E7E" w:rsidP="00134E7E"/>
        </w:tc>
        <w:tc>
          <w:tcPr>
            <w:tcW w:w="910" w:type="dxa"/>
          </w:tcPr>
          <w:p w14:paraId="4A47A71D" w14:textId="77777777" w:rsidR="00134E7E" w:rsidRDefault="00134E7E"/>
          <w:p w14:paraId="51E00030" w14:textId="77777777" w:rsidR="00134E7E" w:rsidRDefault="00134E7E"/>
          <w:p w14:paraId="2E1342CE" w14:textId="77777777" w:rsidR="00134E7E" w:rsidRPr="00F863CB" w:rsidRDefault="00134E7E"/>
        </w:tc>
      </w:tr>
      <w:tr w:rsidR="00134E7E" w:rsidRPr="00F863CB" w14:paraId="5156DC93" w14:textId="77777777" w:rsidTr="00D22E6D">
        <w:tc>
          <w:tcPr>
            <w:tcW w:w="2335" w:type="dxa"/>
          </w:tcPr>
          <w:p w14:paraId="1A624653" w14:textId="7B210119" w:rsidR="00134E7E" w:rsidRPr="00F863CB" w:rsidRDefault="00D22E6D">
            <w:r>
              <w:t>Fieldwork</w:t>
            </w:r>
          </w:p>
        </w:tc>
        <w:tc>
          <w:tcPr>
            <w:tcW w:w="6105" w:type="dxa"/>
            <w:gridSpan w:val="2"/>
          </w:tcPr>
          <w:p w14:paraId="2E3E346D" w14:textId="3F43D907" w:rsidR="00134E7E" w:rsidRPr="00F863CB" w:rsidRDefault="00134E7E" w:rsidP="00134E7E"/>
        </w:tc>
        <w:tc>
          <w:tcPr>
            <w:tcW w:w="910" w:type="dxa"/>
          </w:tcPr>
          <w:p w14:paraId="1759AC82" w14:textId="77777777" w:rsidR="00134E7E" w:rsidRDefault="00134E7E"/>
          <w:p w14:paraId="18E2BAA5" w14:textId="77777777" w:rsidR="00134E7E" w:rsidRDefault="00134E7E"/>
          <w:p w14:paraId="236E1636" w14:textId="77777777" w:rsidR="00134E7E" w:rsidRPr="00F863CB" w:rsidRDefault="00134E7E"/>
        </w:tc>
      </w:tr>
      <w:tr w:rsidR="00134E7E" w:rsidRPr="00F863CB" w14:paraId="348DB3F9" w14:textId="77777777" w:rsidTr="00D22E6D">
        <w:tc>
          <w:tcPr>
            <w:tcW w:w="2335" w:type="dxa"/>
          </w:tcPr>
          <w:p w14:paraId="0C58CDC5" w14:textId="39ADB90E" w:rsidR="00134E7E" w:rsidRPr="00F863CB" w:rsidRDefault="00D22E6D">
            <w:r>
              <w:t>Literature Review</w:t>
            </w:r>
          </w:p>
        </w:tc>
        <w:tc>
          <w:tcPr>
            <w:tcW w:w="6105" w:type="dxa"/>
            <w:gridSpan w:val="2"/>
          </w:tcPr>
          <w:p w14:paraId="72435DC9" w14:textId="5254D795" w:rsidR="00134E7E" w:rsidRPr="00F863CB" w:rsidRDefault="00134E7E" w:rsidP="00134E7E"/>
        </w:tc>
        <w:tc>
          <w:tcPr>
            <w:tcW w:w="910" w:type="dxa"/>
          </w:tcPr>
          <w:p w14:paraId="3AC34BD3" w14:textId="77777777" w:rsidR="00134E7E" w:rsidRDefault="00134E7E"/>
          <w:p w14:paraId="5C5BBC78" w14:textId="77777777" w:rsidR="00134E7E" w:rsidRDefault="00134E7E"/>
          <w:p w14:paraId="1D71DF3C" w14:textId="77777777" w:rsidR="00134E7E" w:rsidRPr="00F863CB" w:rsidRDefault="00134E7E"/>
        </w:tc>
      </w:tr>
      <w:tr w:rsidR="00134E7E" w:rsidRPr="00F863CB" w14:paraId="40EA362F" w14:textId="77777777" w:rsidTr="00D22E6D">
        <w:tc>
          <w:tcPr>
            <w:tcW w:w="2335" w:type="dxa"/>
          </w:tcPr>
          <w:p w14:paraId="3B3E339F" w14:textId="60AA7A2B" w:rsidR="00134E7E" w:rsidRPr="00F863CB" w:rsidRDefault="00D22E6D">
            <w:r>
              <w:t>Writing</w:t>
            </w:r>
          </w:p>
        </w:tc>
        <w:tc>
          <w:tcPr>
            <w:tcW w:w="6105" w:type="dxa"/>
            <w:gridSpan w:val="2"/>
          </w:tcPr>
          <w:p w14:paraId="62493028" w14:textId="3F185F16" w:rsidR="00134E7E" w:rsidRPr="00F863CB" w:rsidRDefault="00134E7E" w:rsidP="00134E7E"/>
        </w:tc>
        <w:tc>
          <w:tcPr>
            <w:tcW w:w="910" w:type="dxa"/>
          </w:tcPr>
          <w:p w14:paraId="66FB7C71" w14:textId="77777777" w:rsidR="00134E7E" w:rsidRDefault="00134E7E"/>
          <w:p w14:paraId="6D7140D0" w14:textId="77777777" w:rsidR="00D22E6D" w:rsidRDefault="00D22E6D"/>
          <w:p w14:paraId="2CC9485F" w14:textId="77777777" w:rsidR="00D22E6D" w:rsidRPr="00F863CB" w:rsidRDefault="00D22E6D"/>
        </w:tc>
      </w:tr>
      <w:tr w:rsidR="00134E7E" w:rsidRPr="00F863CB" w14:paraId="5C22F5A5" w14:textId="77777777" w:rsidTr="00D22E6D">
        <w:tc>
          <w:tcPr>
            <w:tcW w:w="2335" w:type="dxa"/>
          </w:tcPr>
          <w:p w14:paraId="5C18AD0D" w14:textId="2787F048" w:rsidR="00134E7E" w:rsidRDefault="00D22E6D">
            <w:r>
              <w:t>Prepare For &amp; Attend Conferences</w:t>
            </w:r>
          </w:p>
        </w:tc>
        <w:tc>
          <w:tcPr>
            <w:tcW w:w="6105" w:type="dxa"/>
            <w:gridSpan w:val="2"/>
          </w:tcPr>
          <w:p w14:paraId="39B3B586" w14:textId="77777777" w:rsidR="00134E7E" w:rsidRDefault="00134E7E"/>
        </w:tc>
        <w:tc>
          <w:tcPr>
            <w:tcW w:w="910" w:type="dxa"/>
          </w:tcPr>
          <w:p w14:paraId="13C843F6" w14:textId="77777777" w:rsidR="00134E7E" w:rsidRDefault="00134E7E"/>
          <w:p w14:paraId="39FC7035" w14:textId="77777777" w:rsidR="00134E7E" w:rsidRDefault="00134E7E"/>
          <w:p w14:paraId="3E479B70" w14:textId="77777777" w:rsidR="00134E7E" w:rsidRPr="00F863CB" w:rsidRDefault="00134E7E"/>
        </w:tc>
      </w:tr>
      <w:tr w:rsidR="00134E7E" w:rsidRPr="00F863CB" w14:paraId="2ADC285A" w14:textId="77777777" w:rsidTr="00D22E6D">
        <w:tc>
          <w:tcPr>
            <w:tcW w:w="2335" w:type="dxa"/>
          </w:tcPr>
          <w:p w14:paraId="140AFCFD" w14:textId="5C66B11D" w:rsidR="00134E7E" w:rsidRDefault="00D22E6D">
            <w:r>
              <w:t>Laboratory / Code / Field Equipment Maintenance</w:t>
            </w:r>
          </w:p>
        </w:tc>
        <w:tc>
          <w:tcPr>
            <w:tcW w:w="6105" w:type="dxa"/>
            <w:gridSpan w:val="2"/>
          </w:tcPr>
          <w:p w14:paraId="04983F7E" w14:textId="77777777" w:rsidR="00134E7E" w:rsidRDefault="00134E7E"/>
        </w:tc>
        <w:tc>
          <w:tcPr>
            <w:tcW w:w="910" w:type="dxa"/>
          </w:tcPr>
          <w:p w14:paraId="626D1B60" w14:textId="77777777" w:rsidR="00134E7E" w:rsidRDefault="00134E7E"/>
          <w:p w14:paraId="79A7F07A" w14:textId="77777777" w:rsidR="00134E7E" w:rsidRDefault="00134E7E"/>
          <w:p w14:paraId="5FC8867C" w14:textId="77777777" w:rsidR="00134E7E" w:rsidRDefault="00134E7E"/>
        </w:tc>
      </w:tr>
      <w:tr w:rsidR="00325C9E" w:rsidRPr="00F863CB" w14:paraId="3A57BC26" w14:textId="77777777" w:rsidTr="00D22E6D">
        <w:tc>
          <w:tcPr>
            <w:tcW w:w="2335" w:type="dxa"/>
          </w:tcPr>
          <w:p w14:paraId="51680500" w14:textId="77777777" w:rsidR="00325C9E" w:rsidRDefault="00325C9E"/>
        </w:tc>
        <w:tc>
          <w:tcPr>
            <w:tcW w:w="6105" w:type="dxa"/>
            <w:gridSpan w:val="2"/>
          </w:tcPr>
          <w:p w14:paraId="1E94A718" w14:textId="77777777" w:rsidR="00325C9E" w:rsidRDefault="00325C9E"/>
        </w:tc>
        <w:tc>
          <w:tcPr>
            <w:tcW w:w="910" w:type="dxa"/>
          </w:tcPr>
          <w:p w14:paraId="0B6638C7" w14:textId="77777777" w:rsidR="00325C9E" w:rsidRDefault="00325C9E"/>
          <w:p w14:paraId="7ECBDF84" w14:textId="77777777" w:rsidR="00325C9E" w:rsidRDefault="00325C9E"/>
          <w:p w14:paraId="47DB123E" w14:textId="77777777" w:rsidR="00325C9E" w:rsidRDefault="00325C9E"/>
        </w:tc>
      </w:tr>
    </w:tbl>
    <w:p w14:paraId="3368E512" w14:textId="332B0E50" w:rsidR="00790378" w:rsidRPr="00790378" w:rsidRDefault="00790378">
      <w:r>
        <w:rPr>
          <w:vertAlign w:val="superscript"/>
        </w:rPr>
        <w:t>1</w:t>
      </w:r>
      <w:r>
        <w:t xml:space="preserve">Deadlines listed for research tasks due before the end of the quarter. </w:t>
      </w:r>
    </w:p>
    <w:p w14:paraId="4FFACC7A" w14:textId="6885BD71" w:rsidR="00F863CB" w:rsidRPr="00790378" w:rsidRDefault="00790378">
      <w:r>
        <w:rPr>
          <w:vertAlign w:val="superscript"/>
        </w:rPr>
        <w:t>2</w:t>
      </w:r>
      <w:r>
        <w:t>Hours per week serves as guidance for allocating your time. Actual time committed to each task will vary from week to week.</w:t>
      </w:r>
    </w:p>
    <w:p w14:paraId="425482BB" w14:textId="454C9BB1" w:rsidR="00D74E45" w:rsidRPr="009F5A05" w:rsidRDefault="00EF2D0E">
      <w:pPr>
        <w:rPr>
          <w:u w:val="single"/>
        </w:rPr>
      </w:pPr>
      <w:r>
        <w:rPr>
          <w:u w:val="single"/>
        </w:rPr>
        <w:lastRenderedPageBreak/>
        <w:t xml:space="preserve">Course </w:t>
      </w:r>
      <w:r w:rsidR="00D74E45" w:rsidRPr="009F5A05">
        <w:rPr>
          <w:u w:val="single"/>
        </w:rPr>
        <w:t>Overview</w:t>
      </w:r>
    </w:p>
    <w:p w14:paraId="3F280E02" w14:textId="77777777" w:rsidR="00D74E45" w:rsidRDefault="00D74E45"/>
    <w:p w14:paraId="7EAE46E7" w14:textId="77777777" w:rsidR="00012920" w:rsidRDefault="00D74E45">
      <w:proofErr w:type="gramStart"/>
      <w:r>
        <w:t>Masters</w:t>
      </w:r>
      <w:proofErr w:type="gramEnd"/>
      <w:r>
        <w:t xml:space="preserve"> and doctoral graduate students enrolled in the Earth and Planetary Science Graduate Program are expected to engage in research-focused independent study culminating in a written dissertation. </w:t>
      </w:r>
    </w:p>
    <w:p w14:paraId="7EE3067F" w14:textId="77777777" w:rsidR="00012920" w:rsidRDefault="00012920"/>
    <w:p w14:paraId="667D3CA2" w14:textId="73C6EA1E" w:rsidR="00E3197C" w:rsidRDefault="00D74E45" w:rsidP="00B50145">
      <w:r>
        <w:t>Full time students are expected to enroll in a minimum of 12 units</w:t>
      </w:r>
      <w:r w:rsidR="00012920">
        <w:t>. During the first 2 years of the program, some of these units will go toward required courses</w:t>
      </w:r>
      <w:r w:rsidR="00B50145">
        <w:t xml:space="preserve">. </w:t>
      </w:r>
      <w:r w:rsidR="00012920">
        <w:t xml:space="preserve">For the remaining units, the student is expected to enroll in </w:t>
      </w:r>
      <w:r w:rsidR="00312BF5">
        <w:t>GEL 299</w:t>
      </w:r>
      <w:r w:rsidR="00012920">
        <w:t xml:space="preserve"> units. </w:t>
      </w:r>
      <w:r w:rsidR="00FB209A">
        <w:t>According to the Carnegie Rule, each unit is equivalent to 3 hours of time, either spent in or out of class. Therefore</w:t>
      </w:r>
      <w:r w:rsidR="00844608">
        <w:t xml:space="preserve">, </w:t>
      </w:r>
      <w:r w:rsidR="00FB209A">
        <w:t xml:space="preserve">a student will enroll in 1 to 12 units of </w:t>
      </w:r>
      <w:r w:rsidR="00312BF5">
        <w:t>GEL 299</w:t>
      </w:r>
      <w:r w:rsidR="00FB209A">
        <w:t xml:space="preserve"> units representing between 3 to 36 hours of time</w:t>
      </w:r>
      <w:r w:rsidR="00EF2D0E">
        <w:t xml:space="preserve"> </w:t>
      </w:r>
      <w:r w:rsidR="00EF2D0E">
        <w:rPr>
          <w:i/>
          <w:iCs/>
        </w:rPr>
        <w:t>per week</w:t>
      </w:r>
      <w:r w:rsidR="00EF2D0E">
        <w:t xml:space="preserve"> working </w:t>
      </w:r>
      <w:r w:rsidR="00F863CB">
        <w:t>on</w:t>
      </w:r>
      <w:r w:rsidR="00EF2D0E">
        <w:t xml:space="preserve"> their research</w:t>
      </w:r>
      <w:r w:rsidR="00FB209A">
        <w:t xml:space="preserve">. </w:t>
      </w:r>
      <w:r w:rsidR="00012920">
        <w:t xml:space="preserve">These units account for the student’s time committed to making progress on their independent research project.  </w:t>
      </w:r>
    </w:p>
    <w:p w14:paraId="6D8BEE7D" w14:textId="77777777" w:rsidR="00E3197C" w:rsidRDefault="00E3197C" w:rsidP="00B50145"/>
    <w:p w14:paraId="2C4910DF" w14:textId="5F52A9EB" w:rsidR="00FB209A" w:rsidRDefault="00FB209A" w:rsidP="00B50145">
      <w:r>
        <w:t xml:space="preserve">Assessment of whether a student is making satisfactory progress towards their degree in any given quarter will be based on the number of </w:t>
      </w:r>
      <w:r w:rsidR="00312BF5">
        <w:t>GEL 299</w:t>
      </w:r>
      <w:r>
        <w:t xml:space="preserve"> unit</w:t>
      </w:r>
      <w:r w:rsidR="00844608">
        <w:t>s</w:t>
      </w:r>
      <w:r>
        <w:t xml:space="preserve"> the student is enrolled in and the </w:t>
      </w:r>
      <w:r w:rsidR="00E3197C">
        <w:t xml:space="preserve">documented </w:t>
      </w:r>
      <w:r>
        <w:t xml:space="preserve">progress made toward </w:t>
      </w:r>
      <w:r w:rsidR="00E3197C">
        <w:t xml:space="preserve">their </w:t>
      </w:r>
      <w:r w:rsidR="00292F26">
        <w:t xml:space="preserve">thesis or </w:t>
      </w:r>
      <w:r w:rsidR="00E3197C">
        <w:t xml:space="preserve">dissertation </w:t>
      </w:r>
      <w:r w:rsidR="00AF3C07">
        <w:t xml:space="preserve">research tasks </w:t>
      </w:r>
      <w:r w:rsidR="00E3197C">
        <w:t>in that quarter.</w:t>
      </w:r>
    </w:p>
    <w:p w14:paraId="0A18FE3A" w14:textId="77777777" w:rsidR="00D74E45" w:rsidRDefault="00D74E45"/>
    <w:p w14:paraId="7BDDA7EC" w14:textId="6C48F4A9" w:rsidR="00D74E45" w:rsidRDefault="00F863CB">
      <w:pPr>
        <w:rPr>
          <w:u w:val="single"/>
        </w:rPr>
      </w:pPr>
      <w:r>
        <w:rPr>
          <w:u w:val="single"/>
        </w:rPr>
        <w:t xml:space="preserve">Course </w:t>
      </w:r>
      <w:r w:rsidR="00D74E45" w:rsidRPr="009F5A05">
        <w:rPr>
          <w:u w:val="single"/>
        </w:rPr>
        <w:t>Goals</w:t>
      </w:r>
    </w:p>
    <w:p w14:paraId="33244164" w14:textId="77777777" w:rsidR="00312BF5" w:rsidRPr="009F5A05" w:rsidRDefault="00312BF5">
      <w:pPr>
        <w:rPr>
          <w:u w:val="single"/>
        </w:rPr>
      </w:pPr>
    </w:p>
    <w:p w14:paraId="017FF310" w14:textId="77777777" w:rsidR="00E3197C" w:rsidRDefault="00E3197C" w:rsidP="00E3197C">
      <w:pPr>
        <w:pStyle w:val="ListParagraph"/>
        <w:numPr>
          <w:ilvl w:val="0"/>
          <w:numId w:val="2"/>
        </w:numPr>
      </w:pPr>
      <w:r>
        <w:t xml:space="preserve">Learn to gather information (data, techniques, current understanding, theories, questions) from the research literature and synthesize that information to </w:t>
      </w:r>
    </w:p>
    <w:p w14:paraId="249C56B3" w14:textId="77777777" w:rsidR="00E3197C" w:rsidRDefault="00E3197C" w:rsidP="00E3197C">
      <w:pPr>
        <w:pStyle w:val="ListParagraph"/>
        <w:numPr>
          <w:ilvl w:val="1"/>
          <w:numId w:val="2"/>
        </w:numPr>
      </w:pPr>
      <w:r>
        <w:t xml:space="preserve">motivate new research directions, </w:t>
      </w:r>
    </w:p>
    <w:p w14:paraId="1CB6D91D" w14:textId="77777777" w:rsidR="00E3197C" w:rsidRDefault="00E3197C" w:rsidP="00E3197C">
      <w:pPr>
        <w:pStyle w:val="ListParagraph"/>
        <w:numPr>
          <w:ilvl w:val="1"/>
          <w:numId w:val="2"/>
        </w:numPr>
      </w:pPr>
      <w:r>
        <w:t xml:space="preserve">provide context for a proposed project, </w:t>
      </w:r>
    </w:p>
    <w:p w14:paraId="2DB3E279" w14:textId="77777777" w:rsidR="00E3197C" w:rsidRDefault="00E3197C" w:rsidP="00E3197C">
      <w:pPr>
        <w:pStyle w:val="ListParagraph"/>
        <w:numPr>
          <w:ilvl w:val="1"/>
          <w:numId w:val="2"/>
        </w:numPr>
      </w:pPr>
      <w:r>
        <w:t xml:space="preserve">interpret data and draw conclusions, </w:t>
      </w:r>
    </w:p>
    <w:p w14:paraId="69040F3D" w14:textId="77777777" w:rsidR="00E3197C" w:rsidRDefault="00E3197C" w:rsidP="00E3197C">
      <w:pPr>
        <w:pStyle w:val="ListParagraph"/>
        <w:numPr>
          <w:ilvl w:val="1"/>
          <w:numId w:val="2"/>
        </w:numPr>
      </w:pPr>
      <w:r>
        <w:t>learn methods, techniques, calculations, theory to be applied or built on in your project</w:t>
      </w:r>
    </w:p>
    <w:p w14:paraId="5BC98019" w14:textId="77777777" w:rsidR="00E3197C" w:rsidRDefault="00E3197C" w:rsidP="00E3197C">
      <w:pPr>
        <w:pStyle w:val="ListParagraph"/>
        <w:numPr>
          <w:ilvl w:val="1"/>
          <w:numId w:val="2"/>
        </w:numPr>
      </w:pPr>
      <w:r>
        <w:t>decide on the next steps needed to build on current research progress</w:t>
      </w:r>
    </w:p>
    <w:p w14:paraId="5C4414A6" w14:textId="4EEAB0A1" w:rsidR="00E3197C" w:rsidRDefault="00E3197C" w:rsidP="00E3197C">
      <w:pPr>
        <w:pStyle w:val="ListParagraph"/>
        <w:numPr>
          <w:ilvl w:val="0"/>
          <w:numId w:val="2"/>
        </w:numPr>
      </w:pPr>
      <w:r>
        <w:t xml:space="preserve">Develop skills in scientific writing, including </w:t>
      </w:r>
    </w:p>
    <w:p w14:paraId="3AD90EC7" w14:textId="77777777" w:rsidR="00E3197C" w:rsidRDefault="00E3197C" w:rsidP="00E3197C">
      <w:pPr>
        <w:pStyle w:val="ListParagraph"/>
        <w:numPr>
          <w:ilvl w:val="1"/>
          <w:numId w:val="2"/>
        </w:numPr>
      </w:pPr>
      <w:r>
        <w:t>synthesizing and summarizing academic research</w:t>
      </w:r>
    </w:p>
    <w:p w14:paraId="3418C667" w14:textId="77777777" w:rsidR="00E3197C" w:rsidRDefault="00972A5D" w:rsidP="00E3197C">
      <w:pPr>
        <w:pStyle w:val="ListParagraph"/>
        <w:numPr>
          <w:ilvl w:val="1"/>
          <w:numId w:val="2"/>
        </w:numPr>
      </w:pPr>
      <w:r>
        <w:t xml:space="preserve">clear and concise </w:t>
      </w:r>
      <w:r w:rsidR="00E3197C">
        <w:t>expl</w:t>
      </w:r>
      <w:r>
        <w:t>anation of</w:t>
      </w:r>
      <w:r w:rsidR="00E3197C">
        <w:t xml:space="preserve"> </w:t>
      </w:r>
      <w:r>
        <w:t xml:space="preserve">technical </w:t>
      </w:r>
      <w:r w:rsidR="00E3197C">
        <w:t>methods</w:t>
      </w:r>
    </w:p>
    <w:p w14:paraId="35803CA7" w14:textId="77777777" w:rsidR="00E3197C" w:rsidRDefault="00E3197C" w:rsidP="00E3197C">
      <w:pPr>
        <w:pStyle w:val="ListParagraph"/>
        <w:numPr>
          <w:ilvl w:val="1"/>
          <w:numId w:val="2"/>
        </w:numPr>
      </w:pPr>
      <w:r>
        <w:t>explaining results</w:t>
      </w:r>
      <w:r w:rsidR="00972A5D">
        <w:t xml:space="preserve"> with a clear distinction from interpretation and implications</w:t>
      </w:r>
    </w:p>
    <w:p w14:paraId="13A3A757" w14:textId="77777777" w:rsidR="00E3197C" w:rsidRDefault="00E3197C" w:rsidP="00E3197C">
      <w:pPr>
        <w:pStyle w:val="ListParagraph"/>
        <w:numPr>
          <w:ilvl w:val="1"/>
          <w:numId w:val="2"/>
        </w:numPr>
      </w:pPr>
      <w:r>
        <w:t>using figures and tables in conjunction with writing</w:t>
      </w:r>
    </w:p>
    <w:p w14:paraId="085771D3" w14:textId="77777777" w:rsidR="009F5A05" w:rsidRDefault="009F5A05" w:rsidP="009F5A05">
      <w:pPr>
        <w:pStyle w:val="ListParagraph"/>
        <w:numPr>
          <w:ilvl w:val="0"/>
          <w:numId w:val="2"/>
        </w:numPr>
      </w:pPr>
      <w:r>
        <w:t>Implement and apply research specific analysis, techniques, tools, and methods for your specific dissertation research</w:t>
      </w:r>
    </w:p>
    <w:p w14:paraId="1DB66E7E" w14:textId="77777777" w:rsidR="009F5A05" w:rsidRDefault="009F5A05" w:rsidP="009F5A05">
      <w:pPr>
        <w:pStyle w:val="ListParagraph"/>
        <w:numPr>
          <w:ilvl w:val="1"/>
          <w:numId w:val="2"/>
        </w:numPr>
      </w:pPr>
      <w:r>
        <w:t>Critical analysis of methods in terms of applicability, limitations, uncertainties, cost (time and money)</w:t>
      </w:r>
    </w:p>
    <w:p w14:paraId="7AB98C25" w14:textId="6A82F89D" w:rsidR="009F5A05" w:rsidRDefault="009F5A05" w:rsidP="00972A5D">
      <w:pPr>
        <w:pStyle w:val="ListParagraph"/>
        <w:numPr>
          <w:ilvl w:val="1"/>
          <w:numId w:val="2"/>
        </w:numPr>
      </w:pPr>
      <w:r>
        <w:t>Critical analysis of data</w:t>
      </w:r>
      <w:r w:rsidR="00972A5D">
        <w:t xml:space="preserve"> or model results in terms of uniqueness, applicability, quality, uncertainties, etc</w:t>
      </w:r>
      <w:r w:rsidR="00AF3C07">
        <w:t>.</w:t>
      </w:r>
      <w:r>
        <w:t xml:space="preserve"> </w:t>
      </w:r>
    </w:p>
    <w:p w14:paraId="3B42665F" w14:textId="77777777" w:rsidR="00E3197C" w:rsidRDefault="009F5A05" w:rsidP="009F5A05">
      <w:pPr>
        <w:pStyle w:val="ListParagraph"/>
        <w:numPr>
          <w:ilvl w:val="0"/>
          <w:numId w:val="2"/>
        </w:numPr>
      </w:pPr>
      <w:r>
        <w:t xml:space="preserve">Develop oral communication skills focused on clear, concise and engaging communication of scientific concepts, and results for the purposes of teaching and informing. </w:t>
      </w:r>
    </w:p>
    <w:p w14:paraId="7D5E18CF" w14:textId="77777777" w:rsidR="009F5A05" w:rsidRDefault="009F5A05" w:rsidP="009F5A05">
      <w:pPr>
        <w:pStyle w:val="ListParagraph"/>
        <w:numPr>
          <w:ilvl w:val="0"/>
          <w:numId w:val="2"/>
        </w:numPr>
      </w:pPr>
      <w:r>
        <w:t>Development project management skills including</w:t>
      </w:r>
    </w:p>
    <w:p w14:paraId="1DEAB649" w14:textId="77777777" w:rsidR="009F5A05" w:rsidRDefault="009F5A05" w:rsidP="009F5A05">
      <w:pPr>
        <w:pStyle w:val="ListParagraph"/>
        <w:numPr>
          <w:ilvl w:val="1"/>
          <w:numId w:val="2"/>
        </w:numPr>
      </w:pPr>
      <w:r>
        <w:lastRenderedPageBreak/>
        <w:t xml:space="preserve">Breaking down a project into smaller tasks and determining the order in which </w:t>
      </w:r>
      <w:r w:rsidR="00893E80">
        <w:t>t</w:t>
      </w:r>
      <w:r>
        <w:t>o proceed through a project</w:t>
      </w:r>
    </w:p>
    <w:p w14:paraId="505FD660" w14:textId="77777777" w:rsidR="009F5A05" w:rsidRDefault="009F5A05" w:rsidP="009F5A05">
      <w:pPr>
        <w:pStyle w:val="ListParagraph"/>
        <w:numPr>
          <w:ilvl w:val="1"/>
          <w:numId w:val="2"/>
        </w:numPr>
      </w:pPr>
      <w:r>
        <w:t>Time management (determining time needed to complete tasks, planning when and how to accomplish project tasks, coordinating work with collaborators)</w:t>
      </w:r>
    </w:p>
    <w:p w14:paraId="07B00223" w14:textId="77777777" w:rsidR="009F5A05" w:rsidRDefault="009F5A05" w:rsidP="009F5A05">
      <w:pPr>
        <w:pStyle w:val="ListParagraph"/>
        <w:numPr>
          <w:ilvl w:val="1"/>
          <w:numId w:val="2"/>
        </w:numPr>
      </w:pPr>
      <w:r>
        <w:t>Communicating with other people related to the project (advisor, collaborators, funding institutions)</w:t>
      </w:r>
    </w:p>
    <w:p w14:paraId="064EA35A" w14:textId="77777777" w:rsidR="00D74E45" w:rsidRDefault="00D74E45"/>
    <w:p w14:paraId="11DD74BC" w14:textId="14FBD8F0" w:rsidR="00D74E45" w:rsidRPr="00893E80" w:rsidRDefault="001D3571">
      <w:pPr>
        <w:rPr>
          <w:u w:val="single"/>
        </w:rPr>
      </w:pPr>
      <w:r>
        <w:rPr>
          <w:u w:val="single"/>
        </w:rPr>
        <w:t xml:space="preserve">Typical </w:t>
      </w:r>
      <w:r w:rsidR="00312BF5">
        <w:rPr>
          <w:u w:val="single"/>
        </w:rPr>
        <w:t>GEL 299</w:t>
      </w:r>
      <w:r>
        <w:rPr>
          <w:u w:val="single"/>
        </w:rPr>
        <w:t xml:space="preserve"> Research Related Activities</w:t>
      </w:r>
    </w:p>
    <w:p w14:paraId="77D41D3F" w14:textId="77777777" w:rsidR="00D74E45" w:rsidRDefault="00D74E45"/>
    <w:p w14:paraId="1F72E8A2" w14:textId="4D435BE3" w:rsidR="00D74E45" w:rsidRDefault="00D74E45">
      <w:r>
        <w:t xml:space="preserve">Graduate </w:t>
      </w:r>
      <w:r w:rsidR="001D3571">
        <w:t>s</w:t>
      </w:r>
      <w:r>
        <w:t>tudent</w:t>
      </w:r>
      <w:r w:rsidR="00B202CC">
        <w:t>s are</w:t>
      </w:r>
      <w:r w:rsidR="001D3571">
        <w:t xml:space="preserve"> expected to </w:t>
      </w:r>
    </w:p>
    <w:p w14:paraId="1653542A" w14:textId="77777777" w:rsidR="001D3571" w:rsidRDefault="001D3571" w:rsidP="001D3571">
      <w:pPr>
        <w:pStyle w:val="ListParagraph"/>
        <w:numPr>
          <w:ilvl w:val="0"/>
          <w:numId w:val="3"/>
        </w:numPr>
      </w:pPr>
      <w:r>
        <w:t>Keep track of EPS-GP degree requirements and inform your advisor of these well ahead of time.</w:t>
      </w:r>
    </w:p>
    <w:p w14:paraId="15D08369" w14:textId="77777777" w:rsidR="001D3571" w:rsidRDefault="00893E80" w:rsidP="001D3571">
      <w:pPr>
        <w:pStyle w:val="ListParagraph"/>
        <w:numPr>
          <w:ilvl w:val="0"/>
          <w:numId w:val="3"/>
        </w:numPr>
      </w:pPr>
      <w:r>
        <w:t xml:space="preserve">Schedule time for </w:t>
      </w:r>
      <w:r w:rsidR="001D3571">
        <w:t xml:space="preserve">and conduct </w:t>
      </w:r>
      <w:r>
        <w:t>your research activities each week</w:t>
      </w:r>
      <w:r w:rsidR="001D3571">
        <w:t xml:space="preserve"> </w:t>
      </w:r>
      <w:r>
        <w:t>and use this time efficiently and effectively.</w:t>
      </w:r>
    </w:p>
    <w:p w14:paraId="7B4E16CD" w14:textId="77777777" w:rsidR="001D3571" w:rsidRDefault="001D3571" w:rsidP="001D3571">
      <w:pPr>
        <w:pStyle w:val="ListParagraph"/>
        <w:numPr>
          <w:ilvl w:val="0"/>
          <w:numId w:val="3"/>
        </w:numPr>
      </w:pPr>
      <w:r>
        <w:t xml:space="preserve">Read research papers </w:t>
      </w:r>
      <w:r w:rsidR="00292F26">
        <w:t>each</w:t>
      </w:r>
      <w:r>
        <w:t xml:space="preserve"> week and create written summaries of each.</w:t>
      </w:r>
    </w:p>
    <w:p w14:paraId="7DCDB77F" w14:textId="77777777" w:rsidR="001D3571" w:rsidRDefault="001D3571" w:rsidP="001D3571">
      <w:pPr>
        <w:pStyle w:val="ListParagraph"/>
        <w:numPr>
          <w:ilvl w:val="0"/>
          <w:numId w:val="3"/>
        </w:numPr>
      </w:pPr>
      <w:r>
        <w:t xml:space="preserve">Ask for resources, guidance and clarification on any topic that you need to understand better. </w:t>
      </w:r>
    </w:p>
    <w:p w14:paraId="58057B19" w14:textId="77777777" w:rsidR="001D3571" w:rsidRDefault="001D3571" w:rsidP="001D3571">
      <w:pPr>
        <w:pStyle w:val="ListParagraph"/>
        <w:numPr>
          <w:ilvl w:val="0"/>
          <w:numId w:val="3"/>
        </w:numPr>
      </w:pPr>
      <w:r>
        <w:t>Come prepared for and attend all scheduled lab/group meetings, reading group, collaborator meetings (if applicable).</w:t>
      </w:r>
    </w:p>
    <w:p w14:paraId="65504093" w14:textId="45A38CAA" w:rsidR="00893E80" w:rsidRDefault="00893E80" w:rsidP="00893E80">
      <w:pPr>
        <w:pStyle w:val="ListParagraph"/>
        <w:numPr>
          <w:ilvl w:val="0"/>
          <w:numId w:val="3"/>
        </w:numPr>
      </w:pPr>
      <w:r>
        <w:t xml:space="preserve">Communicate with your advisor about any issues that arise related to your </w:t>
      </w:r>
      <w:r w:rsidR="00312BF5">
        <w:t>GEL 299</w:t>
      </w:r>
      <w:r>
        <w:t xml:space="preserve"> activi</w:t>
      </w:r>
      <w:r w:rsidR="00844608">
        <w:t>ti</w:t>
      </w:r>
      <w:r>
        <w:t>es as soon as they occur.</w:t>
      </w:r>
    </w:p>
    <w:p w14:paraId="52CA4714" w14:textId="77777777" w:rsidR="006C22EE" w:rsidRDefault="006C22EE" w:rsidP="001D3571">
      <w:pPr>
        <w:pStyle w:val="ListParagraph"/>
        <w:numPr>
          <w:ilvl w:val="0"/>
          <w:numId w:val="3"/>
        </w:numPr>
      </w:pPr>
      <w:r>
        <w:t>Prepare for and give research talks on the progress of your research</w:t>
      </w:r>
      <w:r w:rsidR="001D3571">
        <w:t>.</w:t>
      </w:r>
    </w:p>
    <w:p w14:paraId="1AC43F29" w14:textId="247EFA4E" w:rsidR="00C63776" w:rsidRDefault="006C22EE" w:rsidP="00F863CB">
      <w:pPr>
        <w:pStyle w:val="ListParagraph"/>
        <w:numPr>
          <w:ilvl w:val="0"/>
          <w:numId w:val="3"/>
        </w:numPr>
      </w:pPr>
      <w:r>
        <w:t xml:space="preserve">As part of your research </w:t>
      </w:r>
      <w:proofErr w:type="gramStart"/>
      <w:r>
        <w:t>training</w:t>
      </w:r>
      <w:proofErr w:type="gramEnd"/>
      <w:r>
        <w:t xml:space="preserve"> you are expected to c</w:t>
      </w:r>
      <w:r w:rsidR="00844608">
        <w:t>ontribute to shared maintenance of</w:t>
      </w:r>
      <w:r>
        <w:t xml:space="preserve"> </w:t>
      </w:r>
      <w:r w:rsidR="001D3571">
        <w:t>the l</w:t>
      </w:r>
      <w:r w:rsidR="00844608">
        <w:t>ab</w:t>
      </w:r>
      <w:r w:rsidR="001D3571">
        <w:t>oratory, f</w:t>
      </w:r>
      <w:r w:rsidR="00844608">
        <w:t>ield gear</w:t>
      </w:r>
      <w:r w:rsidR="001D3571">
        <w:t>, s</w:t>
      </w:r>
      <w:r w:rsidR="00844608">
        <w:t>amples</w:t>
      </w:r>
      <w:r>
        <w:t xml:space="preserve">, </w:t>
      </w:r>
      <w:r w:rsidR="001D3571">
        <w:t>and</w:t>
      </w:r>
      <w:r w:rsidR="00C63776">
        <w:t>/or</w:t>
      </w:r>
      <w:r w:rsidR="001D3571">
        <w:t xml:space="preserve"> n</w:t>
      </w:r>
      <w:r w:rsidR="00844608">
        <w:t>umerical code</w:t>
      </w:r>
      <w:r w:rsidR="00C63776">
        <w:t xml:space="preserve">. </w:t>
      </w:r>
    </w:p>
    <w:p w14:paraId="75B7B54C" w14:textId="77777777" w:rsidR="00292F26" w:rsidRDefault="00292F26" w:rsidP="00C63776"/>
    <w:p w14:paraId="48DA7D61" w14:textId="77777777" w:rsidR="00B202CC" w:rsidRDefault="00B202CC" w:rsidP="00B202CC">
      <w:pPr>
        <w:rPr>
          <w:u w:val="single"/>
        </w:rPr>
      </w:pPr>
      <w:r w:rsidRPr="00EF2D0E">
        <w:rPr>
          <w:u w:val="single"/>
        </w:rPr>
        <w:t>Difference between 299 and paid GSR work</w:t>
      </w:r>
    </w:p>
    <w:p w14:paraId="0DE6900E" w14:textId="77777777" w:rsidR="00312BF5" w:rsidRPr="00EF2D0E" w:rsidRDefault="00312BF5" w:rsidP="00B202CC">
      <w:pPr>
        <w:rPr>
          <w:u w:val="single"/>
        </w:rPr>
      </w:pPr>
    </w:p>
    <w:p w14:paraId="48FCA0EE" w14:textId="07258DCB" w:rsidR="001E1CE3" w:rsidRDefault="00312BF5" w:rsidP="001E1CE3">
      <w:pPr>
        <w:pStyle w:val="ListParagraph"/>
        <w:numPr>
          <w:ilvl w:val="0"/>
          <w:numId w:val="10"/>
        </w:numPr>
      </w:pPr>
      <w:r>
        <w:t>GEL 299</w:t>
      </w:r>
      <w:r w:rsidR="001E1CE3">
        <w:t xml:space="preserve"> represents your academic work, while a GSR represents paid work. This may or may not overlap, depending on factors like the funding source, available projects, and depth and breadth of the work. </w:t>
      </w:r>
    </w:p>
    <w:p w14:paraId="5A2AA114" w14:textId="6BDF727E" w:rsidR="001E1CE3" w:rsidRDefault="007F6BF0" w:rsidP="00EF2D0E">
      <w:pPr>
        <w:pStyle w:val="ListParagraph"/>
        <w:numPr>
          <w:ilvl w:val="0"/>
          <w:numId w:val="10"/>
        </w:numPr>
      </w:pPr>
      <w:r>
        <w:t xml:space="preserve">This syllabus represents the work expected of you </w:t>
      </w:r>
      <w:proofErr w:type="gramStart"/>
      <w:r>
        <w:t>in order to</w:t>
      </w:r>
      <w:proofErr w:type="gramEnd"/>
      <w:r>
        <w:t xml:space="preserve"> earn a Satisfactory (S) grade in </w:t>
      </w:r>
      <w:r w:rsidR="00312BF5">
        <w:t>GEL 299</w:t>
      </w:r>
      <w:r>
        <w:t xml:space="preserve"> units this quarter. </w:t>
      </w:r>
      <w:r w:rsidR="001E1CE3">
        <w:t xml:space="preserve">If you are on GSR, you will receive a Written Notice of Appointment that includes a Description of Duties, which lays out the work you are responsible for as part of your paid employment. </w:t>
      </w:r>
    </w:p>
    <w:p w14:paraId="7927C557" w14:textId="67E191E9" w:rsidR="007F6BF0" w:rsidRDefault="007F6BF0" w:rsidP="00EF2D0E">
      <w:pPr>
        <w:pStyle w:val="ListParagraph"/>
        <w:numPr>
          <w:ilvl w:val="0"/>
          <w:numId w:val="10"/>
        </w:numPr>
      </w:pPr>
      <w:r>
        <w:t xml:space="preserve">If you are a TA or Reader, your </w:t>
      </w:r>
      <w:r w:rsidR="00312BF5">
        <w:t>GEL 299</w:t>
      </w:r>
      <w:r>
        <w:t xml:space="preserve"> will be fully separate from your paid work.</w:t>
      </w:r>
    </w:p>
    <w:p w14:paraId="3AE723E0" w14:textId="5E204105" w:rsidR="007F6BF0" w:rsidRDefault="007F6BF0" w:rsidP="00EF2D0E">
      <w:pPr>
        <w:pStyle w:val="ListParagraph"/>
        <w:numPr>
          <w:ilvl w:val="0"/>
          <w:numId w:val="10"/>
        </w:numPr>
      </w:pPr>
      <w:r>
        <w:t xml:space="preserve">Fellowships come with no expectation of work (i.e. employment) and thus provides an opportunity to focus more on your </w:t>
      </w:r>
      <w:r w:rsidR="00312BF5">
        <w:t>GEL 299</w:t>
      </w:r>
      <w:r>
        <w:t xml:space="preserve"> and thesis/dissertation work. </w:t>
      </w:r>
    </w:p>
    <w:p w14:paraId="402E0120" w14:textId="77777777" w:rsidR="007F6BF0" w:rsidRDefault="007F6BF0" w:rsidP="00C63776"/>
    <w:p w14:paraId="07F17395" w14:textId="70A9D401" w:rsidR="007F6BF0" w:rsidRDefault="007F6BF0" w:rsidP="00C63776">
      <w:pPr>
        <w:rPr>
          <w:u w:val="single"/>
        </w:rPr>
      </w:pPr>
      <w:r w:rsidRPr="00312BF5">
        <w:rPr>
          <w:u w:val="single"/>
        </w:rPr>
        <w:t>Grading</w:t>
      </w:r>
    </w:p>
    <w:p w14:paraId="41958820" w14:textId="77777777" w:rsidR="00312BF5" w:rsidRPr="00312BF5" w:rsidRDefault="00312BF5" w:rsidP="00C63776">
      <w:pPr>
        <w:rPr>
          <w:u w:val="single"/>
        </w:rPr>
      </w:pPr>
    </w:p>
    <w:p w14:paraId="4172E39E" w14:textId="2F2A2282" w:rsidR="007F6BF0" w:rsidRDefault="007F6BF0" w:rsidP="00C63776">
      <w:r>
        <w:t xml:space="preserve">Unsatisfactory work in </w:t>
      </w:r>
      <w:r w:rsidR="00312BF5">
        <w:t>GEL 299</w:t>
      </w:r>
      <w:r>
        <w:t xml:space="preserve"> units can lead to a lack of overall progress toward your thesis/</w:t>
      </w:r>
      <w:proofErr w:type="gramStart"/>
      <w:r>
        <w:t>dissertation, but</w:t>
      </w:r>
      <w:proofErr w:type="gramEnd"/>
      <w:r>
        <w:t xml:space="preserve"> can also importantly have academic consequences. You can read more about Academic Standing (</w:t>
      </w:r>
      <w:hyperlink r:id="rId5" w:history="1">
        <w:r w:rsidRPr="00D309B4">
          <w:rPr>
            <w:rStyle w:val="Hyperlink"/>
          </w:rPr>
          <w:t>https://grad.ucdavis.edu/progress-and-academic-probation</w:t>
        </w:r>
      </w:hyperlink>
      <w:r>
        <w:t xml:space="preserve">), </w:t>
      </w:r>
      <w:r>
        <w:lastRenderedPageBreak/>
        <w:t>Academic Notice (</w:t>
      </w:r>
      <w:r w:rsidRPr="007F6BF0">
        <w:t>https://grad.ucdavis.edu/warnings-probation-and-disqualification</w:t>
      </w:r>
      <w:r>
        <w:t>), and Time to Degree (</w:t>
      </w:r>
      <w:r w:rsidRPr="007F6BF0">
        <w:t>https://grad.ucdavis.edu/normative-time</w:t>
      </w:r>
      <w:r>
        <w:t xml:space="preserve">). </w:t>
      </w:r>
      <w:r w:rsidR="001E1CE3">
        <w:t xml:space="preserve">Please reach out to the Graduate Program Coordinator or your Graduate Advisor if you have any questions about academic standing and progress. </w:t>
      </w:r>
    </w:p>
    <w:p w14:paraId="01946243" w14:textId="77777777" w:rsidR="00B202CC" w:rsidRDefault="00B202CC" w:rsidP="00C63776"/>
    <w:p w14:paraId="1BCDD182" w14:textId="05C3030D" w:rsidR="00E47C82" w:rsidRDefault="00E47C82" w:rsidP="00E47C82">
      <w:pPr>
        <w:rPr>
          <w:u w:val="single"/>
        </w:rPr>
      </w:pPr>
      <w:r w:rsidRPr="00312BF5">
        <w:rPr>
          <w:u w:val="single"/>
        </w:rPr>
        <w:t>Mentoring Resources</w:t>
      </w:r>
    </w:p>
    <w:p w14:paraId="6CB84A2C" w14:textId="77777777" w:rsidR="00312BF5" w:rsidRPr="00312BF5" w:rsidRDefault="00312BF5" w:rsidP="00E47C82">
      <w:pPr>
        <w:rPr>
          <w:u w:val="single"/>
        </w:rPr>
      </w:pPr>
    </w:p>
    <w:p w14:paraId="34341286" w14:textId="77777777" w:rsidR="00E47C82" w:rsidRDefault="00E47C82" w:rsidP="00EF2D0E">
      <w:pPr>
        <w:pStyle w:val="ListParagraph"/>
        <w:numPr>
          <w:ilvl w:val="0"/>
          <w:numId w:val="11"/>
        </w:numPr>
      </w:pPr>
      <w:r>
        <w:t>Graduate Studies provides resources for mentees (</w:t>
      </w:r>
      <w:hyperlink r:id="rId6" w:history="1">
        <w:r w:rsidRPr="00D309B4">
          <w:rPr>
            <w:rStyle w:val="Hyperlink"/>
          </w:rPr>
          <w:t>https://grad.ucdavis.edu/mentoring-resources-mentees</w:t>
        </w:r>
      </w:hyperlink>
      <w:r>
        <w:t>) and mentors (</w:t>
      </w:r>
      <w:hyperlink r:id="rId7" w:history="1">
        <w:r w:rsidRPr="00D309B4">
          <w:rPr>
            <w:rStyle w:val="Hyperlink"/>
          </w:rPr>
          <w:t>https://grad.ucdavis.edu/resources-mentors</w:t>
        </w:r>
      </w:hyperlink>
      <w:r>
        <w:t xml:space="preserve">). </w:t>
      </w:r>
    </w:p>
    <w:p w14:paraId="04BE62F7" w14:textId="42E215BE" w:rsidR="00E47C82" w:rsidRDefault="00E47C82" w:rsidP="00E47C82">
      <w:pPr>
        <w:pStyle w:val="ListParagraph"/>
        <w:numPr>
          <w:ilvl w:val="0"/>
          <w:numId w:val="11"/>
        </w:numPr>
      </w:pPr>
      <w:r>
        <w:t>They also provide additional guidance for establishing a positive working relationship between mentees and mentors (</w:t>
      </w:r>
      <w:hyperlink r:id="rId8" w:history="1">
        <w:r w:rsidRPr="00D309B4">
          <w:rPr>
            <w:rStyle w:val="Hyperlink"/>
          </w:rPr>
          <w:t>https://ucdavis.app.box.com/s/eev7ni38leffk6kgnk7dioq9arovheas</w:t>
        </w:r>
      </w:hyperlink>
      <w:r>
        <w:t xml:space="preserve">). Consider if you want to fill out a mentor-mentee agreement or an Individual Development Plan to help you set goals, manage your time, develop professionally, and communicate effectively. </w:t>
      </w:r>
    </w:p>
    <w:p w14:paraId="78785FAD" w14:textId="77777777" w:rsidR="00E47C82" w:rsidRDefault="00E47C82" w:rsidP="00E47C82"/>
    <w:p w14:paraId="3CFB5E25" w14:textId="77777777" w:rsidR="00E47C82" w:rsidRDefault="00E47C82" w:rsidP="00E47C82">
      <w:pPr>
        <w:rPr>
          <w:u w:val="single"/>
        </w:rPr>
      </w:pPr>
      <w:r w:rsidRPr="00667A08">
        <w:rPr>
          <w:u w:val="single"/>
        </w:rPr>
        <w:t>Student Resources</w:t>
      </w:r>
    </w:p>
    <w:p w14:paraId="7AC01910" w14:textId="77777777" w:rsidR="00312BF5" w:rsidRPr="00667A08" w:rsidRDefault="00312BF5" w:rsidP="00E47C82">
      <w:pPr>
        <w:rPr>
          <w:u w:val="single"/>
        </w:rPr>
      </w:pPr>
    </w:p>
    <w:p w14:paraId="1257734E" w14:textId="77777777" w:rsidR="00E47C82" w:rsidRDefault="00E47C82" w:rsidP="00E47C82">
      <w:pPr>
        <w:pStyle w:val="ListParagraph"/>
        <w:numPr>
          <w:ilvl w:val="0"/>
          <w:numId w:val="10"/>
        </w:numPr>
      </w:pPr>
      <w:r>
        <w:t>Links to all campus resources are at my.ucdavis.edu</w:t>
      </w:r>
    </w:p>
    <w:p w14:paraId="3FEF4436" w14:textId="77777777" w:rsidR="00E47C82" w:rsidRDefault="00E47C82" w:rsidP="00E47C82">
      <w:pPr>
        <w:pStyle w:val="ListParagraph"/>
        <w:numPr>
          <w:ilvl w:val="0"/>
          <w:numId w:val="10"/>
        </w:numPr>
      </w:pPr>
      <w:r>
        <w:t xml:space="preserve">Aggie Mental Health: </w:t>
      </w:r>
      <w:hyperlink r:id="rId9" w:history="1">
        <w:r w:rsidRPr="00D309B4">
          <w:rPr>
            <w:rStyle w:val="Hyperlink"/>
          </w:rPr>
          <w:t>https://mentalhealth.ucdavis.edu</w:t>
        </w:r>
      </w:hyperlink>
      <w:r>
        <w:t xml:space="preserve"> </w:t>
      </w:r>
    </w:p>
    <w:p w14:paraId="219910F8" w14:textId="77777777" w:rsidR="00E47C82" w:rsidRDefault="00E47C82" w:rsidP="00E47C82"/>
    <w:p w14:paraId="7D9D9AA0" w14:textId="77777777" w:rsidR="00E47C82" w:rsidRDefault="00E47C82" w:rsidP="00E47C82">
      <w:pPr>
        <w:rPr>
          <w:u w:val="single"/>
        </w:rPr>
      </w:pPr>
      <w:r w:rsidRPr="00667A08">
        <w:rPr>
          <w:u w:val="single"/>
        </w:rPr>
        <w:t>Academic Integrity</w:t>
      </w:r>
    </w:p>
    <w:p w14:paraId="0F97024B" w14:textId="77777777" w:rsidR="00312BF5" w:rsidRPr="00667A08" w:rsidRDefault="00312BF5" w:rsidP="00E47C82">
      <w:pPr>
        <w:rPr>
          <w:u w:val="single"/>
        </w:rPr>
      </w:pPr>
    </w:p>
    <w:p w14:paraId="2241EB6E" w14:textId="77777777" w:rsidR="00E47C82" w:rsidRDefault="00E47C82" w:rsidP="00E47C82">
      <w:r>
        <w:t>Just as in any other academic course, you are expected to meet the UC Davis Code of Academic Conduct (</w:t>
      </w:r>
      <w:hyperlink r:id="rId10" w:history="1">
        <w:r w:rsidRPr="00D309B4">
          <w:rPr>
            <w:rStyle w:val="Hyperlink"/>
          </w:rPr>
          <w:t>https://ossja.ucdavis.edu/code-academic-conduct</w:t>
        </w:r>
      </w:hyperlink>
      <w:r>
        <w:t xml:space="preserve">). </w:t>
      </w:r>
    </w:p>
    <w:p w14:paraId="199A6487" w14:textId="77777777" w:rsidR="00E47C82" w:rsidRDefault="00E47C82" w:rsidP="00E47C82"/>
    <w:p w14:paraId="24CD9F4D" w14:textId="7FB4413F" w:rsidR="00E47C82" w:rsidRPr="00312BF5" w:rsidRDefault="00E47C82" w:rsidP="00E47C82">
      <w:pPr>
        <w:rPr>
          <w:u w:val="single"/>
        </w:rPr>
      </w:pPr>
      <w:r w:rsidRPr="00312BF5">
        <w:rPr>
          <w:u w:val="single"/>
        </w:rPr>
        <w:t>UC Davis Principles of Community</w:t>
      </w:r>
    </w:p>
    <w:p w14:paraId="1A09DEAA" w14:textId="77777777" w:rsidR="00312BF5" w:rsidRDefault="00312BF5" w:rsidP="00E47C82"/>
    <w:p w14:paraId="7C65551A" w14:textId="7D1E9A14" w:rsidR="00E47C82" w:rsidRDefault="007F6BF0" w:rsidP="00E47C82">
      <w:r>
        <w:t xml:space="preserve">Each member of the Earth and Planetary Sciences community </w:t>
      </w:r>
      <w:r w:rsidR="00312BF5">
        <w:t>is</w:t>
      </w:r>
      <w:r>
        <w:t xml:space="preserve"> responsible for knowing and upholding the UC Davis Principles of Community (</w:t>
      </w:r>
      <w:hyperlink r:id="rId11" w:history="1">
        <w:r w:rsidRPr="00D309B4">
          <w:rPr>
            <w:rStyle w:val="Hyperlink"/>
          </w:rPr>
          <w:t>https://diversity.ucdavis.edu/principles-community</w:t>
        </w:r>
      </w:hyperlink>
      <w:r>
        <w:t xml:space="preserve">). </w:t>
      </w:r>
    </w:p>
    <w:p w14:paraId="729992B2" w14:textId="77777777" w:rsidR="007F6BF0" w:rsidRDefault="007F6BF0" w:rsidP="00E47C82"/>
    <w:p w14:paraId="0624A957" w14:textId="77777777" w:rsidR="007F6BF0" w:rsidRDefault="007F6BF0" w:rsidP="007F6BF0">
      <w:pPr>
        <w:rPr>
          <w:u w:val="single"/>
        </w:rPr>
      </w:pPr>
      <w:r w:rsidRPr="00EF2D0E">
        <w:rPr>
          <w:u w:val="single"/>
        </w:rPr>
        <w:t>Students with Disabilities</w:t>
      </w:r>
    </w:p>
    <w:p w14:paraId="0066E98A" w14:textId="77777777" w:rsidR="00312BF5" w:rsidRPr="00EF2D0E" w:rsidRDefault="00312BF5" w:rsidP="007F6BF0">
      <w:pPr>
        <w:rPr>
          <w:u w:val="single"/>
        </w:rPr>
      </w:pPr>
    </w:p>
    <w:p w14:paraId="22BA1436" w14:textId="00CE389B" w:rsidR="007F6BF0" w:rsidRDefault="007F6BF0" w:rsidP="00EF2D0E">
      <w:r>
        <w:t>UC Davis is committed to ensuring equal educational opportunities for students with disabilities. Students must request academic accommodations prior to or at the beginning of each quarter by visiting the Student Disability Center (</w:t>
      </w:r>
      <w:r w:rsidRPr="007F6BF0">
        <w:t>https://sdc.ucdavis.edu</w:t>
      </w:r>
      <w:r>
        <w:t>) and completing an SDC Accommodation Request Form. The University is not required to provide any academic accommodation that would result in a fundamental alteration of the academic program. Please note that it can take up to two weeks to process accommodation requests, so it is very important to submit the request form early. If classroom or examination accommodations are approved, the student will receive an accommodation letter with instructions regarding notifying instructors of the accommodations authorized.</w:t>
      </w:r>
    </w:p>
    <w:p w14:paraId="5C6FEE20" w14:textId="77777777" w:rsidR="00E47C82" w:rsidRDefault="00E47C82" w:rsidP="00EF2D0E"/>
    <w:p w14:paraId="34A494FE" w14:textId="627E89BD" w:rsidR="00B202CC" w:rsidRDefault="00B202CC" w:rsidP="00B202CC"/>
    <w:sectPr w:rsidR="00B20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2BD8"/>
    <w:multiLevelType w:val="hybridMultilevel"/>
    <w:tmpl w:val="57BA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5693D"/>
    <w:multiLevelType w:val="hybridMultilevel"/>
    <w:tmpl w:val="503C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028E4"/>
    <w:multiLevelType w:val="hybridMultilevel"/>
    <w:tmpl w:val="DBD4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80621"/>
    <w:multiLevelType w:val="hybridMultilevel"/>
    <w:tmpl w:val="A7FAD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55B65"/>
    <w:multiLevelType w:val="hybridMultilevel"/>
    <w:tmpl w:val="FAAE8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57586"/>
    <w:multiLevelType w:val="hybridMultilevel"/>
    <w:tmpl w:val="C6927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969EA"/>
    <w:multiLevelType w:val="hybridMultilevel"/>
    <w:tmpl w:val="E2A0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E2343"/>
    <w:multiLevelType w:val="hybridMultilevel"/>
    <w:tmpl w:val="FDCA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C3FDE"/>
    <w:multiLevelType w:val="hybridMultilevel"/>
    <w:tmpl w:val="EEF23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E1CD5"/>
    <w:multiLevelType w:val="hybridMultilevel"/>
    <w:tmpl w:val="7F2E9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51D88"/>
    <w:multiLevelType w:val="hybridMultilevel"/>
    <w:tmpl w:val="6700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350274">
    <w:abstractNumId w:val="10"/>
  </w:num>
  <w:num w:numId="2" w16cid:durableId="1804274570">
    <w:abstractNumId w:val="8"/>
  </w:num>
  <w:num w:numId="3" w16cid:durableId="1729182818">
    <w:abstractNumId w:val="5"/>
  </w:num>
  <w:num w:numId="4" w16cid:durableId="1099526790">
    <w:abstractNumId w:val="6"/>
  </w:num>
  <w:num w:numId="5" w16cid:durableId="197934506">
    <w:abstractNumId w:val="3"/>
  </w:num>
  <w:num w:numId="6" w16cid:durableId="1831948477">
    <w:abstractNumId w:val="0"/>
  </w:num>
  <w:num w:numId="7" w16cid:durableId="167915800">
    <w:abstractNumId w:val="4"/>
  </w:num>
  <w:num w:numId="8" w16cid:durableId="480119009">
    <w:abstractNumId w:val="7"/>
  </w:num>
  <w:num w:numId="9" w16cid:durableId="900479290">
    <w:abstractNumId w:val="1"/>
  </w:num>
  <w:num w:numId="10" w16cid:durableId="2086145910">
    <w:abstractNumId w:val="9"/>
  </w:num>
  <w:num w:numId="11" w16cid:durableId="1997026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CC"/>
    <w:rsid w:val="00011CD9"/>
    <w:rsid w:val="00012920"/>
    <w:rsid w:val="00134E7E"/>
    <w:rsid w:val="001D3571"/>
    <w:rsid w:val="001E0120"/>
    <w:rsid w:val="001E1CE3"/>
    <w:rsid w:val="00292F26"/>
    <w:rsid w:val="00293087"/>
    <w:rsid w:val="00312BF5"/>
    <w:rsid w:val="003208F7"/>
    <w:rsid w:val="00325C9E"/>
    <w:rsid w:val="004A0797"/>
    <w:rsid w:val="004A61D8"/>
    <w:rsid w:val="0063605F"/>
    <w:rsid w:val="006619E6"/>
    <w:rsid w:val="006728A7"/>
    <w:rsid w:val="006C22EE"/>
    <w:rsid w:val="006D6100"/>
    <w:rsid w:val="00790378"/>
    <w:rsid w:val="007E5AD8"/>
    <w:rsid w:val="007F6BF0"/>
    <w:rsid w:val="00844608"/>
    <w:rsid w:val="00893E80"/>
    <w:rsid w:val="00972A5D"/>
    <w:rsid w:val="009F5A05"/>
    <w:rsid w:val="00AA40BC"/>
    <w:rsid w:val="00AF3C07"/>
    <w:rsid w:val="00B202CC"/>
    <w:rsid w:val="00B41295"/>
    <w:rsid w:val="00B50145"/>
    <w:rsid w:val="00C11089"/>
    <w:rsid w:val="00C61C54"/>
    <w:rsid w:val="00C63776"/>
    <w:rsid w:val="00C90C98"/>
    <w:rsid w:val="00CD325A"/>
    <w:rsid w:val="00D22E6D"/>
    <w:rsid w:val="00D74E45"/>
    <w:rsid w:val="00E3197C"/>
    <w:rsid w:val="00E47C82"/>
    <w:rsid w:val="00EF2D0E"/>
    <w:rsid w:val="00F712A8"/>
    <w:rsid w:val="00F863CB"/>
    <w:rsid w:val="00FB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79C543"/>
  <w15:chartTrackingRefBased/>
  <w15:docId w15:val="{7F44A865-6B25-7844-9366-573582A9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920"/>
    <w:pPr>
      <w:ind w:left="720"/>
      <w:contextualSpacing/>
    </w:pPr>
  </w:style>
  <w:style w:type="paragraph" w:styleId="Revision">
    <w:name w:val="Revision"/>
    <w:hidden/>
    <w:uiPriority w:val="99"/>
    <w:semiHidden/>
    <w:rsid w:val="00B202CC"/>
  </w:style>
  <w:style w:type="character" w:styleId="Hyperlink">
    <w:name w:val="Hyperlink"/>
    <w:basedOn w:val="DefaultParagraphFont"/>
    <w:uiPriority w:val="99"/>
    <w:unhideWhenUsed/>
    <w:rsid w:val="00B202CC"/>
    <w:rPr>
      <w:color w:val="0563C1" w:themeColor="hyperlink"/>
      <w:u w:val="single"/>
    </w:rPr>
  </w:style>
  <w:style w:type="character" w:styleId="UnresolvedMention">
    <w:name w:val="Unresolved Mention"/>
    <w:basedOn w:val="DefaultParagraphFont"/>
    <w:uiPriority w:val="99"/>
    <w:semiHidden/>
    <w:unhideWhenUsed/>
    <w:rsid w:val="00B202CC"/>
    <w:rPr>
      <w:color w:val="605E5C"/>
      <w:shd w:val="clear" w:color="auto" w:fill="E1DFDD"/>
    </w:rPr>
  </w:style>
  <w:style w:type="character" w:styleId="FollowedHyperlink">
    <w:name w:val="FollowedHyperlink"/>
    <w:basedOn w:val="DefaultParagraphFont"/>
    <w:uiPriority w:val="99"/>
    <w:semiHidden/>
    <w:unhideWhenUsed/>
    <w:rsid w:val="00B202CC"/>
    <w:rPr>
      <w:color w:val="954F72" w:themeColor="followedHyperlink"/>
      <w:u w:val="single"/>
    </w:rPr>
  </w:style>
  <w:style w:type="table" w:styleId="TableGrid">
    <w:name w:val="Table Grid"/>
    <w:basedOn w:val="TableNormal"/>
    <w:uiPriority w:val="39"/>
    <w:rsid w:val="00EF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davis.app.box.com/s/eev7ni38leffk6kgnk7dioq9arovhe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ad.ucdavis.edu/resources-ment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d.ucdavis.edu/mentoring-resources-mentees" TargetMode="External"/><Relationship Id="rId11" Type="http://schemas.openxmlformats.org/officeDocument/2006/relationships/hyperlink" Target="https://diversity.ucdavis.edu/principles-community" TargetMode="External"/><Relationship Id="rId5" Type="http://schemas.openxmlformats.org/officeDocument/2006/relationships/hyperlink" Target="https://grad.ucdavis.edu/progress-and-academic-probation" TargetMode="External"/><Relationship Id="rId10" Type="http://schemas.openxmlformats.org/officeDocument/2006/relationships/hyperlink" Target="https://ossja.ucdavis.edu/code-academic-conduct" TargetMode="External"/><Relationship Id="rId4" Type="http://schemas.openxmlformats.org/officeDocument/2006/relationships/webSettings" Target="webSettings.xml"/><Relationship Id="rId9" Type="http://schemas.openxmlformats.org/officeDocument/2006/relationships/hyperlink" Target="https://mentalhealth.ucdavi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ou/Desktop/GEL%20299%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GEL 299 Syllabus Template.dotx</Template>
  <TotalTime>74</TotalTime>
  <Pages>4</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Rousseau</dc:creator>
  <cp:keywords/>
  <dc:description/>
  <cp:lastModifiedBy>Michael Eugene Oskin</cp:lastModifiedBy>
  <cp:revision>6</cp:revision>
  <dcterms:created xsi:type="dcterms:W3CDTF">2025-05-07T21:01:00Z</dcterms:created>
  <dcterms:modified xsi:type="dcterms:W3CDTF">2025-07-23T14:57:00Z</dcterms:modified>
</cp:coreProperties>
</file>